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202FD" w14:textId="77777777" w:rsidR="00364BD4" w:rsidRPr="00364BD4" w:rsidRDefault="00364BD4" w:rsidP="00364BD4">
      <w:pPr>
        <w:pStyle w:val="p1"/>
        <w:rPr>
          <w:rFonts w:ascii="Calibri" w:hAnsi="Calibri" w:cs="Calibri"/>
          <w:sz w:val="22"/>
          <w:szCs w:val="22"/>
        </w:rPr>
      </w:pPr>
      <w:r w:rsidRPr="00364BD4">
        <w:rPr>
          <w:rFonts w:ascii="Calibri" w:hAnsi="Calibri" w:cs="Calibri"/>
          <w:color w:val="000000"/>
          <w:sz w:val="22"/>
          <w:szCs w:val="22"/>
        </w:rPr>
        <w:t>Manual de Compliance Medicare – CMS, HIPAA,Marketing, SEP</w:t>
      </w:r>
      <w:r w:rsidRPr="00364BD4">
        <w:rPr>
          <w:rFonts w:ascii="Calibri" w:hAnsi="Calibri" w:cs="Calibri"/>
          <w:color w:val="000000"/>
          <w:sz w:val="22"/>
          <w:szCs w:val="22"/>
        </w:rPr>
        <w:br/>
      </w:r>
      <w:r w:rsidRPr="00364BD4">
        <w:rPr>
          <w:rFonts w:ascii="Calibri" w:hAnsi="Calibri" w:cs="Calibri"/>
          <w:color w:val="000000"/>
          <w:sz w:val="22"/>
          <w:szCs w:val="22"/>
        </w:rPr>
        <w:br/>
      </w:r>
      <w:r w:rsidRPr="00364BD4">
        <w:rPr>
          <w:rFonts w:ascii="Calibri" w:hAnsi="Calibri" w:cs="Calibri"/>
          <w:sz w:val="22"/>
          <w:szCs w:val="22"/>
        </w:rPr>
        <w:t xml:space="preserve">Aquí tienes un resumen (y guía) en español sobre lo que debe contener un </w:t>
      </w:r>
      <w:r w:rsidRPr="00364BD4">
        <w:rPr>
          <w:rFonts w:ascii="Calibri" w:hAnsi="Calibri" w:cs="Calibri"/>
          <w:b/>
          <w:bCs/>
          <w:sz w:val="22"/>
          <w:szCs w:val="22"/>
        </w:rPr>
        <w:t>Manual de Compliance para Medicare</w:t>
      </w:r>
      <w:r w:rsidRPr="00364BD4">
        <w:rPr>
          <w:rFonts w:ascii="Calibri" w:hAnsi="Calibri" w:cs="Calibri"/>
          <w:sz w:val="22"/>
          <w:szCs w:val="22"/>
        </w:rPr>
        <w:t>, cubriendo los temas CMS (planes Medicare Parte C/D), HIPAA, Marketing y SEP (Special Enrollment Period). Puedo ayudarte a armar un borrador traducido o adaptado para tu negocio si quieres.</w:t>
      </w:r>
    </w:p>
    <w:p w14:paraId="26D95ECE" w14:textId="77777777" w:rsidR="00364BD4" w:rsidRP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</w:r>
      <w:r w:rsidR="00364BD4" w:rsidRPr="00364BD4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41345609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7C16D5D5" w14:textId="77777777" w:rsidR="00364BD4" w:rsidRPr="00364BD4" w:rsidRDefault="00364BD4" w:rsidP="00364BD4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1. Fundamentos legales y regulatorios</w:t>
      </w:r>
    </w:p>
    <w:p w14:paraId="131633C8" w14:textId="77777777" w:rsidR="00364BD4" w:rsidRPr="00364BD4" w:rsidRDefault="00364BD4" w:rsidP="00364BD4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55CD4C9B" w14:textId="77777777" w:rsidR="00364BD4" w:rsidRPr="00364BD4" w:rsidRDefault="00364BD4" w:rsidP="00364BD4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CMS – Programas Medicare Parte C / Parte D</w:t>
      </w:r>
    </w:p>
    <w:p w14:paraId="4000C50E" w14:textId="77777777" w:rsidR="00364BD4" w:rsidRPr="00364BD4" w:rsidRDefault="00364BD4" w:rsidP="00364B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Los requisitos de programa de cumplimiento para los planes Medicare (Parte C y Parte D) están regulados en </w:t>
      </w: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42 C.F.R. §§ 422.503 y 423.504</w:t>
      </w: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.  </w:t>
      </w:r>
    </w:p>
    <w:p w14:paraId="78946F64" w14:textId="77777777" w:rsidR="00364BD4" w:rsidRPr="00364BD4" w:rsidRDefault="00364BD4" w:rsidP="00364B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El </w:t>
      </w: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Manual de Medicare Managed Care, capítulo 21</w:t>
      </w: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contiene las “Compliance Program Guidelines” para planes Medicare Advantage y también el manual de beneficios farmacéuticos (Parte D, capítulo 9).  </w:t>
      </w:r>
    </w:p>
    <w:p w14:paraId="71825034" w14:textId="77777777" w:rsidR="00364BD4" w:rsidRPr="00364BD4" w:rsidRDefault="00364BD4" w:rsidP="00364B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Los Manuales “Internet-Only Manuals (IOMs)” de CMS incluyen directrices, políticas y procedimientos operativos que pueden servir como referencia para la estructura de tu manual.  </w:t>
      </w:r>
    </w:p>
    <w:p w14:paraId="2F4BC4EA" w14:textId="77777777" w:rsidR="00364BD4" w:rsidRPr="00364BD4" w:rsidRDefault="00364BD4" w:rsidP="00364B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CMS publica las </w:t>
      </w: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Guidelines de comunicaciones y marketing de Medicare (MCMG / Medicare Communications &amp; Marketing Guidelines)</w:t>
      </w: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, que interpretan las regulaciones para marketing de los planes MA y PDP.  </w:t>
      </w:r>
    </w:p>
    <w:p w14:paraId="08CE1FC0" w14:textId="6A9E6C9D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4051EA3B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39F27A5F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7FFA1546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3525B4E6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5B5B31AF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64DB292B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657ACF6E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1B7F91D1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77D1624B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50E87D79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7FCBF1E3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2A1475ED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15163BFF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0B129F65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2B31B30C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44820BD6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27AF9ADF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08508CCA" w14:textId="77777777" w:rsid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4FCEAF97" w14:textId="77777777" w:rsidR="00364BD4" w:rsidRP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66A4BAF3" w14:textId="77777777" w:rsidR="00364BD4" w:rsidRPr="00364BD4" w:rsidRDefault="00364BD4" w:rsidP="00364BD4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lastRenderedPageBreak/>
        <w:t>2. Componentes clave que debe tener tu Manual de Compliance Medicare</w:t>
      </w:r>
    </w:p>
    <w:p w14:paraId="58A4F0F1" w14:textId="77777777" w:rsidR="00364BD4" w:rsidRPr="00364BD4" w:rsidRDefault="00364BD4" w:rsidP="00364BD4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4ABC2045" w14:textId="77777777" w:rsidR="00364BD4" w:rsidRPr="00364BD4" w:rsidRDefault="00364BD4" w:rsidP="00364BD4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Aquí están los elementos esenciales que NO pueden faltar: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3"/>
        <w:gridCol w:w="3664"/>
        <w:gridCol w:w="3543"/>
      </w:tblGrid>
      <w:tr w:rsidR="00364BD4" w:rsidRPr="00364BD4" w14:paraId="6099C748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E2EE54A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  <w:t>Componente</w:t>
            </w:r>
          </w:p>
        </w:tc>
        <w:tc>
          <w:tcPr>
            <w:tcW w:w="0" w:type="auto"/>
            <w:vAlign w:val="center"/>
            <w:hideMark/>
          </w:tcPr>
          <w:p w14:paraId="581F02C6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  <w:t>Qué incluir</w:t>
            </w:r>
          </w:p>
        </w:tc>
        <w:tc>
          <w:tcPr>
            <w:tcW w:w="0" w:type="auto"/>
            <w:vAlign w:val="center"/>
            <w:hideMark/>
          </w:tcPr>
          <w:p w14:paraId="38BA5D4B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  <w:t>Notas específicas para Medicare / planes</w:t>
            </w:r>
          </w:p>
        </w:tc>
      </w:tr>
      <w:tr w:rsidR="00364BD4" w:rsidRPr="00364BD4" w14:paraId="72E6A38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7F087A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Políticas escritas y estándares de conducta</w:t>
            </w:r>
          </w:p>
        </w:tc>
        <w:tc>
          <w:tcPr>
            <w:tcW w:w="0" w:type="auto"/>
            <w:vAlign w:val="center"/>
            <w:hideMark/>
          </w:tcPr>
          <w:p w14:paraId="5274D256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Código ético, directrices de conflicto de interés, prohibiciones de conducta</w:t>
            </w:r>
          </w:p>
        </w:tc>
        <w:tc>
          <w:tcPr>
            <w:tcW w:w="0" w:type="auto"/>
            <w:vAlign w:val="center"/>
            <w:hideMark/>
          </w:tcPr>
          <w:p w14:paraId="66B618E9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Debe reflejar regulaciones CMS, normas de fraude, desperdicio y abuso (FWA)</w:t>
            </w:r>
          </w:p>
        </w:tc>
      </w:tr>
      <w:tr w:rsidR="00364BD4" w:rsidRPr="00364BD4" w14:paraId="03B28D1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1C0F58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Oficial de Compliance &amp; Comité</w:t>
            </w:r>
          </w:p>
        </w:tc>
        <w:tc>
          <w:tcPr>
            <w:tcW w:w="0" w:type="auto"/>
            <w:vAlign w:val="center"/>
            <w:hideMark/>
          </w:tcPr>
          <w:p w14:paraId="70855757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Roles, responsabilidades, autoridad, reporte a nivel ejecutivo</w:t>
            </w:r>
          </w:p>
        </w:tc>
        <w:tc>
          <w:tcPr>
            <w:tcW w:w="0" w:type="auto"/>
            <w:vAlign w:val="center"/>
            <w:hideMark/>
          </w:tcPr>
          <w:p w14:paraId="4674A389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Incluye supervisión del cumplimiento con CMS y delegados</w:t>
            </w:r>
          </w:p>
        </w:tc>
      </w:tr>
      <w:tr w:rsidR="00364BD4" w:rsidRPr="00364BD4" w14:paraId="054AFB1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DABE42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Formación y educación</w:t>
            </w:r>
          </w:p>
        </w:tc>
        <w:tc>
          <w:tcPr>
            <w:tcW w:w="0" w:type="auto"/>
            <w:vAlign w:val="center"/>
            <w:hideMark/>
          </w:tcPr>
          <w:p w14:paraId="29C1D833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Capacitación periódica sobre cumplimiento, fraudes, marketing, HIPAA, SEP</w:t>
            </w:r>
          </w:p>
        </w:tc>
        <w:tc>
          <w:tcPr>
            <w:tcW w:w="0" w:type="auto"/>
            <w:vAlign w:val="center"/>
            <w:hideMark/>
          </w:tcPr>
          <w:p w14:paraId="0C8FD780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Asegurar que empleados y entidades relacionadas (FDRs) conozcan reglas CMS</w:t>
            </w:r>
          </w:p>
        </w:tc>
      </w:tr>
      <w:tr w:rsidR="00364BD4" w:rsidRPr="00364BD4" w14:paraId="04E0649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8FF7BA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Canales de comunicación / denuncias</w:t>
            </w:r>
          </w:p>
        </w:tc>
        <w:tc>
          <w:tcPr>
            <w:tcW w:w="0" w:type="auto"/>
            <w:vAlign w:val="center"/>
            <w:hideMark/>
          </w:tcPr>
          <w:p w14:paraId="361F67E6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Línea confidencial, medios de reporte, procedimientos para investigar</w:t>
            </w:r>
          </w:p>
        </w:tc>
        <w:tc>
          <w:tcPr>
            <w:tcW w:w="0" w:type="auto"/>
            <w:vAlign w:val="center"/>
            <w:hideMark/>
          </w:tcPr>
          <w:p w14:paraId="6DE1A769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Incluye mecanismos para reporte interno y reporte a CMS si es necesario</w:t>
            </w:r>
          </w:p>
        </w:tc>
      </w:tr>
      <w:tr w:rsidR="00364BD4" w:rsidRPr="00364BD4" w14:paraId="5F7E5CB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7F37CA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Disciplina / consecuencias</w:t>
            </w:r>
          </w:p>
        </w:tc>
        <w:tc>
          <w:tcPr>
            <w:tcW w:w="0" w:type="auto"/>
            <w:vAlign w:val="center"/>
            <w:hideMark/>
          </w:tcPr>
          <w:p w14:paraId="3E8C18CC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Sanciones por incumplimiento, medida correctiva</w:t>
            </w:r>
          </w:p>
        </w:tc>
        <w:tc>
          <w:tcPr>
            <w:tcW w:w="0" w:type="auto"/>
            <w:vAlign w:val="center"/>
            <w:hideMark/>
          </w:tcPr>
          <w:p w14:paraId="1FA030D7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Debe estar documentado y aplicado de forma consistente</w:t>
            </w:r>
          </w:p>
        </w:tc>
      </w:tr>
      <w:tr w:rsidR="00364BD4" w:rsidRPr="00364BD4" w14:paraId="05E2A4E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B752DD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Monitoreo y auditoría</w:t>
            </w:r>
          </w:p>
        </w:tc>
        <w:tc>
          <w:tcPr>
            <w:tcW w:w="0" w:type="auto"/>
            <w:vAlign w:val="center"/>
            <w:hideMark/>
          </w:tcPr>
          <w:p w14:paraId="4CF2AA39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Auditorías periódicas, análisis de riesgo, revisión de actividades marketing, uso de datos</w:t>
            </w:r>
          </w:p>
        </w:tc>
        <w:tc>
          <w:tcPr>
            <w:tcW w:w="0" w:type="auto"/>
            <w:vAlign w:val="center"/>
            <w:hideMark/>
          </w:tcPr>
          <w:p w14:paraId="1479208E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Incluir auditar cumplimiento de comunicaciones / marketing, SEP, HIPAA</w:t>
            </w:r>
          </w:p>
        </w:tc>
      </w:tr>
      <w:tr w:rsidR="00364BD4" w:rsidRPr="00364BD4" w14:paraId="69068C1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DC158A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Respuesta y corrección</w:t>
            </w:r>
          </w:p>
        </w:tc>
        <w:tc>
          <w:tcPr>
            <w:tcW w:w="0" w:type="auto"/>
            <w:vAlign w:val="center"/>
            <w:hideMark/>
          </w:tcPr>
          <w:p w14:paraId="30334C1D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Procedimientos para investigar violaciones, remediación, reportes a CMS si aplica</w:t>
            </w:r>
          </w:p>
        </w:tc>
        <w:tc>
          <w:tcPr>
            <w:tcW w:w="0" w:type="auto"/>
            <w:vAlign w:val="center"/>
            <w:hideMark/>
          </w:tcPr>
          <w:p w14:paraId="3AFBCD7A" w14:textId="77777777" w:rsidR="00364BD4" w:rsidRPr="00364BD4" w:rsidRDefault="00364BD4" w:rsidP="00364BD4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</w:pPr>
            <w:r w:rsidRPr="00364BD4">
              <w:rPr>
                <w:rFonts w:ascii="Calibri" w:eastAsia="Times New Roman" w:hAnsi="Calibri" w:cs="Calibri"/>
                <w:kern w:val="0"/>
                <w:sz w:val="22"/>
                <w:szCs w:val="22"/>
                <w:lang w:val="en-US"/>
                <w14:ligatures w14:val="none"/>
              </w:rPr>
              <w:t>Incluir autocorrección y auto-reportes en casos relevantes (cuando las políticas lo exijan)</w:t>
            </w:r>
          </w:p>
        </w:tc>
      </w:tr>
    </w:tbl>
    <w:p w14:paraId="3B397F90" w14:textId="77777777" w:rsidR="00364BD4" w:rsidRPr="00364BD4" w:rsidRDefault="00364BD4" w:rsidP="00364BD4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Dentro de este esquema, debe haber secciones específicas sobre:</w:t>
      </w:r>
    </w:p>
    <w:p w14:paraId="27DF810B" w14:textId="77777777" w:rsidR="00364BD4" w:rsidRPr="00364BD4" w:rsidRDefault="00364BD4" w:rsidP="00364B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Cumplimiento en </w:t>
      </w: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marketing</w:t>
      </w: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(qué y cuándo puedes comercializar, restricciones, aprobaciones internas).</w:t>
      </w:r>
    </w:p>
    <w:p w14:paraId="446652A5" w14:textId="77777777" w:rsidR="00364BD4" w:rsidRPr="00364BD4" w:rsidRDefault="00364BD4" w:rsidP="00364B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Cumplimiento relativo a los periodos de inscripción especiales (SEP).</w:t>
      </w:r>
    </w:p>
    <w:p w14:paraId="247D6101" w14:textId="77777777" w:rsidR="00364BD4" w:rsidRPr="00364BD4" w:rsidRDefault="00364BD4" w:rsidP="00364B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Protección de datos, privacidad y seguridad (HIPAA).</w:t>
      </w:r>
    </w:p>
    <w:p w14:paraId="78FF2DC4" w14:textId="77777777" w:rsidR="00364BD4" w:rsidRPr="00364BD4" w:rsidRDefault="00364BD4" w:rsidP="00364B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Supervisión de entidades subcontratadas o relacionadas (FDRs = First-Tier, Downstream, Related entities).</w:t>
      </w:r>
    </w:p>
    <w:p w14:paraId="708BA033" w14:textId="77777777" w:rsidR="00364BD4" w:rsidRPr="00364BD4" w:rsidRDefault="00364BD4" w:rsidP="00364B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Evaluación de riesgo de cumplimiento: identificar los “puntos débiles” (por ejemplo, comunicaciones no autorizadas, uso inapropiado de PHI, mercadeo fuera de periodo permitido).</w:t>
      </w:r>
    </w:p>
    <w:p w14:paraId="378DC93A" w14:textId="77777777" w:rsidR="00364BD4" w:rsidRP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</w:r>
      <w:r w:rsidR="00364BD4" w:rsidRPr="00364BD4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0A838F4C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0D02F2F1" w14:textId="77777777" w:rsidR="00364BD4" w:rsidRDefault="00364BD4" w:rsidP="00364BD4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</w:p>
    <w:p w14:paraId="2EB836F9" w14:textId="77777777" w:rsidR="00364BD4" w:rsidRDefault="00364BD4" w:rsidP="00364BD4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</w:p>
    <w:p w14:paraId="556D83EB" w14:textId="452EC7EA" w:rsidR="00364BD4" w:rsidRPr="00364BD4" w:rsidRDefault="00364BD4" w:rsidP="00364BD4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lastRenderedPageBreak/>
        <w:t>3. HIPAA: privacidad, seguridad y marketing de datos personales</w:t>
      </w:r>
    </w:p>
    <w:p w14:paraId="656AC402" w14:textId="77777777" w:rsidR="00364BD4" w:rsidRPr="00364BD4" w:rsidRDefault="00364BD4" w:rsidP="00364BD4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4BEE614F" w14:textId="77777777" w:rsidR="00364BD4" w:rsidRPr="00364BD4" w:rsidRDefault="00364BD4" w:rsidP="00364BD4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Aunque HIPAA es una ley más amplia, cualquier entidad que maneje datos de salud (PHI = Protected Health Information) debe integrarla en su Manual de Compliance:</w:t>
      </w:r>
    </w:p>
    <w:p w14:paraId="1317F2B6" w14:textId="77777777" w:rsidR="00364BD4" w:rsidRPr="00364BD4" w:rsidRDefault="00364BD4" w:rsidP="00364B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HIPAA regula la </w:t>
      </w: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Privacidad</w:t>
      </w: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, la </w:t>
      </w: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Seguridad</w:t>
      </w: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y la </w:t>
      </w: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Notificación de brechas</w:t>
      </w: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(Breach Notification Rules).  </w:t>
      </w:r>
    </w:p>
    <w:p w14:paraId="18C6EFE2" w14:textId="77777777" w:rsidR="00364BD4" w:rsidRPr="00364BD4" w:rsidRDefault="00364BD4" w:rsidP="00364B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Debes definir qué es “marketing” según HIPAA: comunicar un servicio o producto para incentivar su uso o compra, lo cual requiere autorización previa en muchos casos.  </w:t>
      </w:r>
    </w:p>
    <w:p w14:paraId="22ED7AAF" w14:textId="77777777" w:rsidR="00364BD4" w:rsidRPr="00364BD4" w:rsidRDefault="00364BD4" w:rsidP="00364B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Se necesitan políticas para salvaguardar ePHI (información de salud electrónica): confidencialidad, integridad, disponibilidad.  </w:t>
      </w:r>
    </w:p>
    <w:p w14:paraId="0B884D4A" w14:textId="77777777" w:rsidR="00364BD4" w:rsidRPr="00364BD4" w:rsidRDefault="00364BD4" w:rsidP="00364B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En caso de brechas (uso no autorizado de PHI), debes tener procedimientos para notificar a los afectados, las autoridades competentes (HHS </w:t>
      </w:r>
      <w:r w:rsidRPr="00364BD4">
        <w:rPr>
          <w:rFonts w:ascii="Cambria Math" w:eastAsia="Times New Roman" w:hAnsi="Cambria Math" w:cs="Cambria Math"/>
          <w:kern w:val="0"/>
          <w:sz w:val="22"/>
          <w:szCs w:val="22"/>
          <w:lang w:val="en-US"/>
          <w14:ligatures w14:val="none"/>
        </w:rPr>
        <w:t>ℴ</w:t>
      </w: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CMS si aplica) y realizar análisis de riesgo.  </w:t>
      </w:r>
    </w:p>
    <w:p w14:paraId="0709CED4" w14:textId="77777777" w:rsidR="00364BD4" w:rsidRPr="00364BD4" w:rsidRDefault="00364BD4" w:rsidP="00364B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Las reglas de simplificación administrativa de HIPAA también incluyen estándares para transacciones electrónicas de salud, códigos estandarizados y reglas operativas que tu entidad debe seguir si ejecuta esas transacciones.  </w:t>
      </w:r>
    </w:p>
    <w:p w14:paraId="1E503E4F" w14:textId="77777777" w:rsidR="00364BD4" w:rsidRPr="00364BD4" w:rsidRDefault="00364BD4" w:rsidP="00364BD4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</w:r>
      <w:r w:rsidR="00364BD4" w:rsidRPr="00364BD4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741CFE8B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07732562" w14:textId="77777777" w:rsidR="00364BD4" w:rsidRPr="00364BD4" w:rsidRDefault="00364BD4" w:rsidP="00364BD4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4. Marketing de planes Medicare y SEP (Special Enrollment Period)</w:t>
      </w:r>
    </w:p>
    <w:p w14:paraId="676DDB6B" w14:textId="77777777" w:rsidR="00364BD4" w:rsidRPr="00364BD4" w:rsidRDefault="00364BD4" w:rsidP="00364BD4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7C878843" w14:textId="77777777" w:rsidR="00364BD4" w:rsidRPr="00364BD4" w:rsidRDefault="00364BD4" w:rsidP="00364BD4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Marketing / comunicaciones</w:t>
      </w:r>
    </w:p>
    <w:p w14:paraId="76835DDC" w14:textId="77777777" w:rsidR="00364BD4" w:rsidRPr="00364BD4" w:rsidRDefault="00364BD4" w:rsidP="00364B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Las </w:t>
      </w: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Medical Communications &amp; Marketing Guidelines (MCMG)</w:t>
      </w: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de CMS establecen cómo los planes pueden comunicar, publicitar o distribuir información sobre sus productos (MA, Parte D).  </w:t>
      </w:r>
    </w:p>
    <w:p w14:paraId="28B4B3F0" w14:textId="77777777" w:rsidR="00364BD4" w:rsidRPr="00364BD4" w:rsidRDefault="00364BD4" w:rsidP="00364B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Se define “marketing” como comunicaciones cuyo propósito sea atraer a alguien hacia un plan o influir en su decisión de inscribirse.  </w:t>
      </w:r>
    </w:p>
    <w:p w14:paraId="3767D122" w14:textId="77777777" w:rsidR="00364BD4" w:rsidRPr="00364BD4" w:rsidRDefault="00364BD4" w:rsidP="00364B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Hay restricciones sobre </w:t>
      </w: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cuándo puedes hacer marketing</w:t>
      </w: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(p. ej. no fuera de los periodos de inscripción permitidos) salvo ciertas excepciones legítimas.  </w:t>
      </w:r>
    </w:p>
    <w:p w14:paraId="24CEE21D" w14:textId="77777777" w:rsidR="00364BD4" w:rsidRPr="00364BD4" w:rsidRDefault="00364BD4" w:rsidP="00364B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Los materiales de marketing deben contener ciertos avisos obligatorios, lenguaje acreditativo (disclaimers), mencionar que no hay obligación de inscribirse, “for accommodations” para personas con necesidades especiales, etc.  </w:t>
      </w:r>
    </w:p>
    <w:p w14:paraId="2FC5476E" w14:textId="77777777" w:rsidR="00364BD4" w:rsidRPr="00364BD4" w:rsidRDefault="00364BD4" w:rsidP="00364B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Las entidades deben supervisar no solo sus propios materiales, sino los de sus agentes, subcontratistas o entidades delegadas, para asegurar cumplimiento.  </w:t>
      </w:r>
    </w:p>
    <w:p w14:paraId="3E521915" w14:textId="77777777" w:rsidR="00364BD4" w:rsidRDefault="00364BD4" w:rsidP="00364BD4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643F3D9C" w14:textId="77777777" w:rsidR="00364BD4" w:rsidRDefault="00364BD4" w:rsidP="00364BD4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456F3265" w14:textId="77777777" w:rsidR="00364BD4" w:rsidRDefault="00364BD4" w:rsidP="00364BD4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0384DCC2" w14:textId="77777777" w:rsidR="00364BD4" w:rsidRPr="00364BD4" w:rsidRDefault="00364BD4" w:rsidP="00364BD4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6E991776" w14:textId="77777777" w:rsidR="00364BD4" w:rsidRPr="00364BD4" w:rsidRDefault="00364BD4" w:rsidP="00364BD4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lastRenderedPageBreak/>
        <w:t>SEP (Períodos de Inscripción Especial)</w:t>
      </w:r>
    </w:p>
    <w:p w14:paraId="02260C19" w14:textId="77777777" w:rsidR="00364BD4" w:rsidRPr="00364BD4" w:rsidRDefault="00364BD4" w:rsidP="00364BD4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08AAC2B9" w14:textId="77777777" w:rsidR="00364BD4" w:rsidRPr="00364BD4" w:rsidRDefault="00364BD4" w:rsidP="00364BD4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Aunque las reglas específicas de los SEP no están tan concentradas dentro del manual de compliance general, tu manual debe contemplar:</w:t>
      </w:r>
    </w:p>
    <w:p w14:paraId="19FCEA0F" w14:textId="77777777" w:rsidR="00364BD4" w:rsidRPr="00364BD4" w:rsidRDefault="00364BD4" w:rsidP="00364BD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Cuándo los beneficiarios califican para SEP (por ejemplo, cambios de residencia, pérdida de cobertura, cambio de estado, elegibilidad retroactiva).</w:t>
      </w:r>
    </w:p>
    <w:p w14:paraId="16AC0A6C" w14:textId="77777777" w:rsidR="00364BD4" w:rsidRPr="00364BD4" w:rsidRDefault="00364BD4" w:rsidP="00364BD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Cómo documentar esos eventos.</w:t>
      </w:r>
    </w:p>
    <w:p w14:paraId="611898AD" w14:textId="77777777" w:rsidR="00364BD4" w:rsidRPr="00364BD4" w:rsidRDefault="00364BD4" w:rsidP="00364BD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Qué comunicaciones puedes hacer a beneficiarios elegibles durante SEP (cuidado con marketing fuera de periodo).</w:t>
      </w:r>
    </w:p>
    <w:p w14:paraId="07A61954" w14:textId="77777777" w:rsidR="00364BD4" w:rsidRPr="00364BD4" w:rsidRDefault="00364BD4" w:rsidP="00364BD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Procesos de verificación del derecho del beneficiario para usar SEP (evidencia, fechas, capacidad de presentar prueba).</w:t>
      </w:r>
    </w:p>
    <w:p w14:paraId="0A2659AD" w14:textId="77777777" w:rsidR="00364BD4" w:rsidRPr="00364BD4" w:rsidRDefault="00364BD4" w:rsidP="00364BD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364BD4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Auditoría interna para asegurarse de que SEP se aplica correctamente y no se cometen abusos (por ejemplo, marketing que pretende inducir inscripciones fuera de periodo).</w:t>
      </w:r>
    </w:p>
    <w:p w14:paraId="711576B8" w14:textId="4C53482A" w:rsidR="006C287E" w:rsidRPr="00364BD4" w:rsidRDefault="006C287E">
      <w:pPr>
        <w:rPr>
          <w:rFonts w:ascii="Calibri" w:hAnsi="Calibri" w:cs="Calibri"/>
          <w:sz w:val="22"/>
          <w:szCs w:val="22"/>
        </w:rPr>
      </w:pPr>
    </w:p>
    <w:sectPr w:rsidR="006C287E" w:rsidRPr="00364B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6780D"/>
    <w:multiLevelType w:val="multilevel"/>
    <w:tmpl w:val="BF92F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CF6E32"/>
    <w:multiLevelType w:val="multilevel"/>
    <w:tmpl w:val="AAD2C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961C83"/>
    <w:multiLevelType w:val="multilevel"/>
    <w:tmpl w:val="1C5A1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CE480D"/>
    <w:multiLevelType w:val="multilevel"/>
    <w:tmpl w:val="CE682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B475FB"/>
    <w:multiLevelType w:val="multilevel"/>
    <w:tmpl w:val="E3EC7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6033600">
    <w:abstractNumId w:val="4"/>
  </w:num>
  <w:num w:numId="2" w16cid:durableId="2126539947">
    <w:abstractNumId w:val="2"/>
  </w:num>
  <w:num w:numId="3" w16cid:durableId="956254112">
    <w:abstractNumId w:val="1"/>
  </w:num>
  <w:num w:numId="4" w16cid:durableId="523834978">
    <w:abstractNumId w:val="0"/>
  </w:num>
  <w:num w:numId="5" w16cid:durableId="2999629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BD4"/>
    <w:rsid w:val="000D4505"/>
    <w:rsid w:val="003012AC"/>
    <w:rsid w:val="00364BD4"/>
    <w:rsid w:val="006C287E"/>
    <w:rsid w:val="0093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52743"/>
  <w15:chartTrackingRefBased/>
  <w15:docId w15:val="{343D8E4F-ADCA-CE41-8D1D-74592AD08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4B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64B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64B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4B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4B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4B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4B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4B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4B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4BD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"/>
    </w:rPr>
  </w:style>
  <w:style w:type="character" w:customStyle="1" w:styleId="Heading2Char">
    <w:name w:val="Heading 2 Char"/>
    <w:basedOn w:val="DefaultParagraphFont"/>
    <w:link w:val="Heading2"/>
    <w:uiPriority w:val="9"/>
    <w:rsid w:val="00364BD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"/>
    </w:rPr>
  </w:style>
  <w:style w:type="character" w:customStyle="1" w:styleId="Heading3Char">
    <w:name w:val="Heading 3 Char"/>
    <w:basedOn w:val="DefaultParagraphFont"/>
    <w:link w:val="Heading3"/>
    <w:uiPriority w:val="9"/>
    <w:rsid w:val="00364BD4"/>
    <w:rPr>
      <w:rFonts w:eastAsiaTheme="majorEastAsia" w:cstheme="majorBidi"/>
      <w:color w:val="0F4761" w:themeColor="accent1" w:themeShade="BF"/>
      <w:sz w:val="28"/>
      <w:szCs w:val="28"/>
      <w:lang w:val="es-E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4BD4"/>
    <w:rPr>
      <w:rFonts w:eastAsiaTheme="majorEastAsia" w:cstheme="majorBidi"/>
      <w:i/>
      <w:iCs/>
      <w:color w:val="0F4761" w:themeColor="accent1" w:themeShade="BF"/>
      <w:lang w:val="es-E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4BD4"/>
    <w:rPr>
      <w:rFonts w:eastAsiaTheme="majorEastAsia" w:cstheme="majorBidi"/>
      <w:color w:val="0F4761" w:themeColor="accent1" w:themeShade="BF"/>
      <w:lang w:val="es-E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4BD4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4BD4"/>
    <w:rPr>
      <w:rFonts w:eastAsiaTheme="majorEastAsia" w:cstheme="majorBidi"/>
      <w:color w:val="595959" w:themeColor="text1" w:themeTint="A6"/>
      <w:lang w:val="es-E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4BD4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4BD4"/>
    <w:rPr>
      <w:rFonts w:eastAsiaTheme="majorEastAsia" w:cstheme="majorBidi"/>
      <w:color w:val="272727" w:themeColor="text1" w:themeTint="D8"/>
      <w:lang w:val="es-ES"/>
    </w:rPr>
  </w:style>
  <w:style w:type="paragraph" w:styleId="Title">
    <w:name w:val="Title"/>
    <w:basedOn w:val="Normal"/>
    <w:next w:val="Normal"/>
    <w:link w:val="TitleChar"/>
    <w:uiPriority w:val="10"/>
    <w:qFormat/>
    <w:rsid w:val="00364B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4BD4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4B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4BD4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Quote">
    <w:name w:val="Quote"/>
    <w:basedOn w:val="Normal"/>
    <w:next w:val="Normal"/>
    <w:link w:val="QuoteChar"/>
    <w:uiPriority w:val="29"/>
    <w:qFormat/>
    <w:rsid w:val="00364B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4BD4"/>
    <w:rPr>
      <w:i/>
      <w:iCs/>
      <w:color w:val="404040" w:themeColor="text1" w:themeTint="BF"/>
      <w:lang w:val="es-ES"/>
    </w:rPr>
  </w:style>
  <w:style w:type="paragraph" w:styleId="ListParagraph">
    <w:name w:val="List Paragraph"/>
    <w:basedOn w:val="Normal"/>
    <w:uiPriority w:val="34"/>
    <w:qFormat/>
    <w:rsid w:val="00364B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4B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4B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4BD4"/>
    <w:rPr>
      <w:i/>
      <w:iCs/>
      <w:color w:val="0F4761" w:themeColor="accent1" w:themeShade="BF"/>
      <w:lang w:val="es-ES"/>
    </w:rPr>
  </w:style>
  <w:style w:type="character" w:styleId="IntenseReference">
    <w:name w:val="Intense Reference"/>
    <w:basedOn w:val="DefaultParagraphFont"/>
    <w:uiPriority w:val="32"/>
    <w:qFormat/>
    <w:rsid w:val="00364BD4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364B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s1">
    <w:name w:val="s1"/>
    <w:basedOn w:val="DefaultParagraphFont"/>
    <w:rsid w:val="00364BD4"/>
  </w:style>
  <w:style w:type="character" w:customStyle="1" w:styleId="s2">
    <w:name w:val="s2"/>
    <w:basedOn w:val="DefaultParagraphFont"/>
    <w:rsid w:val="00364BD4"/>
  </w:style>
  <w:style w:type="paragraph" w:customStyle="1" w:styleId="p3">
    <w:name w:val="p3"/>
    <w:basedOn w:val="Normal"/>
    <w:rsid w:val="00364B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apple-converted-space">
    <w:name w:val="apple-converted-space"/>
    <w:basedOn w:val="DefaultParagraphFont"/>
    <w:rsid w:val="00364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882</Words>
  <Characters>5031</Characters>
  <Application>Microsoft Office Word</Application>
  <DocSecurity>0</DocSecurity>
  <Lines>41</Lines>
  <Paragraphs>11</Paragraphs>
  <ScaleCrop>false</ScaleCrop>
  <Company/>
  <LinksUpToDate>false</LinksUpToDate>
  <CharactersWithSpaces>5902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Querales</dc:creator>
  <cp:keywords/>
  <dc:description/>
  <cp:lastModifiedBy>Miguel Querales</cp:lastModifiedBy>
  <cp:revision>1</cp:revision>
  <dcterms:created xsi:type="dcterms:W3CDTF">2025-10-13T18:05:00Z</dcterms:created>
  <dcterms:modified xsi:type="dcterms:W3CDTF">2025-10-13T18:14:00Z</dcterms:modified>
</cp:coreProperties>
</file>